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after="120"/>
      </w:pPr>
      <w:r>
        <w:rPr>
          <w:rFonts w:ascii="Arial" w:hAnsi="Arial"/>
          <w:b/>
          <w:color w:val="8B6723"/>
          <w:sz w:val="17"/>
        </w:rPr>
        <w:t>RISE.SK  |  PRAKTICKÝ VSTUP PRE PONUKU A PRÍPRAVU ZMLUVY</w:t>
      </w:r>
    </w:p>
    <w:p>
      <w:pPr>
        <w:spacing w:after="100"/>
      </w:pPr>
      <w:r>
        <w:rPr>
          <w:rFonts w:ascii="Arial" w:hAnsi="Arial"/>
          <w:b/>
          <w:color w:val="181611"/>
          <w:sz w:val="56"/>
        </w:rPr>
        <w:t>Projektové zadanie</w:t>
      </w:r>
    </w:p>
    <w:p>
      <w:pPr>
        <w:spacing w:after="160" w:line="252" w:lineRule="auto"/>
      </w:pPr>
      <w:r>
        <w:rPr>
          <w:rFonts w:ascii="Arial" w:hAnsi="Arial"/>
          <w:color w:val="6B665D"/>
          <w:sz w:val="23"/>
        </w:rPr>
        <w:t>Univerzálna editovateľná šablóna pre softvér, AI, automatizáciu, UX/UI, marketing, audit a poradenstvo</w:t>
      </w:r>
    </w:p>
    <w:p>
      <w:pPr>
        <w:spacing w:after="160"/>
        <w:pBdr>
          <w:bottom w:val="single" w:sz="10" w:space="4" w:color="DAB549"/>
        </w:pBdr>
      </w:pPr>
      <w:r>
        <w:rPr>
          <w:rFonts w:ascii="Arial" w:hAnsi="Arial"/>
          <w:b/>
          <w:color w:val="8B6723"/>
          <w:sz w:val="16"/>
        </w:rPr>
        <w:t>RISE-PB-SK@1.0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1E8CF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Úloha dokumentu</w:t>
            </w:r>
          </w:p>
          <w:p>
            <w:pPr>
              <w:pStyle w:val="RiseSmall"/>
              <w:spacing w:after="0"/>
            </w:pPr>
            <w:r>
              <w:t>Tento brief je vstupom pre posúdenie, ponuku a prípravu zmluvy. Nie je samostatnou zmluvou ani právnou radou. Ak má byť prílohou zmluvy, označte ho názvom, verziou a dátumom, uveďte ho v registri príloh a nechajte zmluvné znenie skontrolovať právnikom.</w:t>
            </w:r>
          </w:p>
        </w:tc>
      </w:tr>
    </w:tbl>
    <w:p>
      <w:pPr>
        <w:spacing w:after="0"/>
      </w:pPr>
    </w:p>
    <w:p>
      <w:pPr>
        <w:pStyle w:val="Heading2"/>
      </w:pPr>
      <w:r>
        <w:t>Ako šablónu vyplniť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Najprv vyplňte strany 1 a 2. Rýchly vstup trvá približne 10 minút.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Potom doplňte povinné a dôležité kapitoly. Úplné zadanie zvyčajne trvá 30 až 45 minút.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Ak odpoveď nepoznáte, napíšte „neviem / otvorené“. Domnienku nevydávajte za fakt.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Opíšte problém, dôkazy a želaný výsledok. Technické riešenie nemusíte navrhnúť.</w:t>
      </w:r>
    </w:p>
    <w:p>
      <w:pPr>
        <w:pStyle w:val="RiseSmall"/>
        <w:spacing w:after="4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6"/>
        </w:rPr>
        <w:t>Políčko označte vložením znaku X. Nepotrebné voliteľné moduly môžete vymazať.</w:t>
      </w:r>
    </w:p>
    <w:p>
      <w:pPr>
        <w:pStyle w:val="Heading2"/>
      </w:pPr>
      <w:r>
        <w:t>Povinnosť častí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2211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6"/>
              </w:rPr>
              <w:t>POVINNÉ</w:t>
            </w:r>
          </w:p>
        </w:tc>
        <w:tc>
          <w:tcPr>
            <w:tcW w:type="dxa" w:w="742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Odpovedzte alebo uveďte „neviem / otvorené“.</w:t>
            </w:r>
          </w:p>
        </w:tc>
      </w:tr>
      <w:tr>
        <w:trPr>
          <w:cantSplit/>
        </w:trPr>
        <w:tc>
          <w:tcPr>
            <w:tcW w:type="dxa" w:w="2211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6"/>
              </w:rPr>
              <w:t>DÔLEŽITÉ</w:t>
            </w:r>
          </w:p>
        </w:tc>
        <w:tc>
          <w:tcPr>
            <w:tcW w:type="dxa" w:w="742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Výrazne ovplyvňuje cenu, termín, bezpečnosť alebo riziko.</w:t>
            </w:r>
          </w:p>
        </w:tc>
      </w:tr>
      <w:tr>
        <w:trPr>
          <w:cantSplit/>
        </w:trPr>
        <w:tc>
          <w:tcPr>
            <w:tcW w:type="dxa" w:w="2211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6B665D"/>
                <w:sz w:val="16"/>
              </w:rPr>
              <w:t>VOLITEĽNÉ</w:t>
            </w:r>
          </w:p>
        </w:tc>
        <w:tc>
          <w:tcPr>
            <w:tcW w:type="dxa" w:w="742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Vyplňte iba pri relevantnom type projektu.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6E8B9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Nevkladajte citlivé tajomstvá</w:t>
            </w:r>
          </w:p>
          <w:p>
            <w:pPr>
              <w:pStyle w:val="RiseSmall"/>
              <w:spacing w:after="0"/>
            </w:pPr>
            <w:r>
              <w:t>Do dokumentu nevkladajte heslá, API kľúče, celé produkčné exporty, obchodné tajomstvá ani neanonymizované osobné údaje. Uveďte iba kategóriu údajov a spôsob, akým možno podklady neskôr bezpečne sprístupniť. Figma návrhy a grafické podklady zdieľajte cez pozvánku na rise@rise.sk a pri fontoch uveďte licenciu. Prístupy k službám tretích strán poskytnite cez správu rolí, nikdy neposielajte heslá ani API kľúče.</w:t>
            </w:r>
          </w:p>
        </w:tc>
      </w:tr>
    </w:tbl>
    <w:p>
      <w:pPr>
        <w:spacing w:after="0"/>
      </w:pPr>
    </w:p>
    <w:p>
      <w:pPr>
        <w:pStyle w:val="Heading1"/>
      </w:pPr>
      <w:r>
        <w:t>1. Identita a stav dokumentu  |  POVINNÉ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Klient a fakturačný subjekt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sdt>
              <w:sdtPr>
                <w:alias w:val="brief.identity.client"/>
                <w:tag w:val="brief.identity.client"/>
                <w:lock w:val="sdtLocked"/>
              </w:sdtPr>
              <w:sdtContent>
                <w:r>
                  <w:t xml:space="preserve">{{RISE_BRIEF_IDENTITY_CLIENT}}</w:t>
                </w:r>
              </w:sdtContent>
            </w:sdt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Názov projektu alebo pracovný názov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sdt>
              <w:sdtPr>
                <w:alias w:val="brief.identity.project_name"/>
                <w:tag w:val="brief.identity.project_name"/>
                <w:lock w:val="sdtLocked"/>
              </w:sdtPr>
              <w:sdtContent>
                <w:r>
                  <w:t xml:space="preserve">{{RISE_BRIEF_IDENTITY_PROJECT_NAME}}</w:t>
                </w:r>
              </w:sdtContent>
            </w:sdt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Vlastník zadania a kontaktné údaje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sdt>
              <w:sdtPr>
                <w:alias w:val="brief.identity.owner"/>
                <w:tag w:val="brief.identity.owner"/>
                <w:lock w:val="sdtLocked"/>
              </w:sdtPr>
              <w:sdtContent>
                <w:r>
                  <w:t xml:space="preserve">{{RISE_BRIEF_IDENTITY_OWNER}}</w:t>
                </w:r>
              </w:sdtContent>
            </w:sdt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Rozhodujúca osoba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sdt>
              <w:sdtPr>
                <w:alias w:val="brief.identity.decision_maker"/>
                <w:tag w:val="brief.identity.decision_maker"/>
                <w:lock w:val="sdtLocked"/>
              </w:sdtPr>
              <w:sdtContent>
                <w:r>
                  <w:t xml:space="preserve">{{RISE_BRIEF_IDENTITY_DECISION_MAKER}}</w:t>
                </w:r>
              </w:sdtContent>
            </w:sdt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Schvaľujúca osoba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sdt>
              <w:sdtPr>
                <w:alias w:val="brief.identity.approver"/>
                <w:tag w:val="brief.identity.approver"/>
                <w:lock w:val="sdtLocked"/>
              </w:sdtPr>
              <w:sdtContent>
                <w:r>
                  <w:t xml:space="preserve">{{RISE_BRIEF_IDENTITY_APPROVER}}</w:t>
                </w:r>
              </w:sdtContent>
            </w:sdt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Verzia dokumentu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sdt>
              <w:sdtPr>
                <w:alias w:val="brief.identity.document_version"/>
                <w:tag w:val="brief.identity.document_version"/>
                <w:lock w:val="sdtLocked"/>
              </w:sdtPr>
              <w:sdtContent>
                <w:r>
                  <w:t xml:space="preserve">{{RISE_BRIEF_IDENTITY_DOCUMENT_VERSION}}</w:t>
                </w:r>
              </w:sdtContent>
            </w:sdt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Dátum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sdt>
              <w:sdtPr>
                <w:alias w:val="brief.identity.date"/>
                <w:tag w:val="brief.identity.date"/>
                <w:lock w:val="sdtLocked"/>
              </w:sdtPr>
              <w:sdtContent>
                <w:r>
                  <w:t xml:space="preserve">{{RISE_BRIEF_IDENTITY_DATE}}</w:t>
                </w:r>
              </w:sdtContent>
            </w:sdt>
          </w:p>
        </w:tc>
      </w:tr>
      <w:tr>
        <w:trPr>
          <w:cantSplit/>
        </w:trPr>
        <w:tc>
          <w:tcPr>
            <w:tcW w:type="dxa" w:w="3288"/>
            <w:shd w:fill="F7F3E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Stav  ☐ návrh   ☐ na kontrolu   ☐ schválené   ☐ príloha zmluvy</w:t>
            </w:r>
          </w:p>
        </w:tc>
        <w:tc>
          <w:tcPr>
            <w:tcW w:type="dxa" w:w="634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  <w:vAlign w:val="center"/>
          </w:tcPr>
          <w:p>
            <w:pPr>
              <w:pStyle w:val="RiseResponse"/>
            </w:pPr>
            <w:sdt>
              <w:sdtPr>
                <w:alias w:val="brief.identity.status"/>
                <w:tag w:val="brief.identity.status"/>
                <w:lock w:val="sdtLocked"/>
              </w:sdtPr>
              <w:sdtContent>
                <w:r>
                  <w:t xml:space="preserve">{{RISE_BRIEF_IDENTITY_STATUS}}</w:t>
                </w:r>
              </w:sdtContent>
            </w:sdt>
          </w:p>
        </w:tc>
      </w:tr>
    </w:tbl>
    <w:p>
      <w:r>
        <w:br w:type="page"/>
      </w:r>
    </w:p>
    <w:p>
      <w:pPr>
        <w:pStyle w:val="Heading1"/>
      </w:pPr>
      <w:r>
        <w:t>2. Rýchle povinné minimum</w:t>
      </w:r>
    </w:p>
    <w:p>
      <w:pPr>
        <w:spacing w:after="140" w:line="252" w:lineRule="auto"/>
      </w:pPr>
      <w:r>
        <w:t>Táto strana stačí na prvé odborné posúdenie. Každú prázdnu odpoveď označte ako otvorenú. Konkrétny príklad je hodnotnejší než všeobecný opis.</w:t>
      </w:r>
    </w:p>
    <w:p>
      <w:pPr>
        <w:spacing w:before="100" w:after="60"/>
      </w:pPr>
      <w:r>
        <w:rPr>
          <w:rFonts w:ascii="Arial" w:hAnsi="Arial"/>
          <w:b/>
          <w:color w:val="302D27"/>
          <w:sz w:val="18"/>
        </w:rPr>
        <w:t>Typ projektu  |  označte všetky relevantné možnosti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Softvér na mieru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AI alebo automatizácia</w:t>
            </w:r>
          </w:p>
        </w:tc>
      </w:tr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UX/UI dizajn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Marketing alebo komunikácia</w:t>
            </w:r>
          </w:p>
        </w:tc>
      </w:tr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Audit alebo poradenstvo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Neviem, potrebujem odporúčanie</w:t>
            </w:r>
          </w:p>
        </w:tc>
      </w:tr>
    </w:tbl>
    <w:p>
      <w:pPr>
        <w:spacing w:before="100" w:after="60"/>
      </w:pPr>
      <w:r>
        <w:rPr>
          <w:rFonts w:ascii="Arial" w:hAnsi="Arial"/>
          <w:b/>
          <w:color w:val="302D27"/>
          <w:sz w:val="18"/>
        </w:rPr>
        <w:t>Dnešný stav  |  označte jednu možnosť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Nápad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Ručný alebo čiastočne digitálny proces</w:t>
            </w:r>
          </w:p>
        </w:tc>
      </w:tr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Existujúci produkt alebo služba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Náhrada existujúceho riešenia</w:t>
            </w:r>
          </w:p>
        </w:tc>
      </w:tr>
      <w:tr>
        <w:trPr>
          <w:cantSplit/>
        </w:trPr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  <w:r>
              <w:t>☐  Neviem, potrebujem odporúčanie</w:t>
            </w:r>
          </w:p>
        </w:tc>
        <w:tc>
          <w:tcPr>
            <w:tcW w:type="dxa" w:w="481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pStyle w:val="RiseTable"/>
            </w:pPr>
          </w:p>
        </w:tc>
      </w:tr>
    </w:tbl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Problém a konkrétny príklad</w:t>
            </w:r>
          </w:p>
          <w:p>
            <w:pPr>
              <w:pStyle w:val="RiseSmall"/>
            </w:pPr>
            <w:r>
              <w:t>Čo sa deje dnes, komu, ako často a s akým dopadom?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quick.context"/>
                <w:tag w:val="brief.quick.context"/>
                <w:lock w:val="sdtLocked"/>
              </w:sdtPr>
              <w:sdtContent>
                <w:r>
                  <w:t xml:space="preserve">{{RISE_BRIEF_QUICK_CONTEXT}}</w:t>
                </w:r>
              </w:sdtContent>
            </w:sdt>
            <w:r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Želaný výsledok a meranie</w:t>
            </w:r>
          </w:p>
          <w:p>
            <w:pPr>
              <w:pStyle w:val="RiseSmall"/>
            </w:pPr>
            <w:r>
              <w:t>Čo má byť inak, aká je dnešná hodnota a čo potvrdí zlepšenie?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quick.goal"/>
                <w:tag w:val="brief.quick.goal"/>
                <w:lock w:val="sdtLocked"/>
              </w:sdtPr>
              <w:sdtContent>
                <w:r>
                  <w:t xml:space="preserve">{{RISE_BRIEF_QUICK_GOAL}}</w:t>
                </w:r>
              </w:sdtContent>
            </w:sdt>
            <w:r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Rozsah a výslovné vylúčenia</w:t>
            </w:r>
          </w:p>
          <w:p>
            <w:pPr>
              <w:pStyle w:val="RiseSmall"/>
            </w:pPr>
            <w:r>
              <w:t>Čo musí byť zahrnuté a čo do projektu nepatrí?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quick.scope"/>
                <w:tag w:val="brief.quick.scope"/>
                <w:lock w:val="sdtLocked"/>
              </w:sdtPr>
              <w:sdtContent>
                <w:r>
                  <w:t xml:space="preserve">{{RISE_BRIEF_QUICK_SCOPE}}</w:t>
                </w:r>
              </w:sdtContent>
            </w:sdt>
            <w:r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Rozpočet a režim</w:t>
            </w:r>
          </w:p>
          <w:p>
            <w:pPr>
              <w:pStyle w:val="RiseSmall"/>
            </w:pPr>
            <w:r>
              <w:t>Schválené rozpätie, orientačné rozpätie, pevný limit alebo potrebný odhad.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quick.budget"/>
                <w:tag w:val="brief.quick.budget"/>
                <w:lock w:val="sdtLocked"/>
              </w:sdtPr>
              <w:sdtContent>
                <w:r>
                  <w:t xml:space="preserve">{{RISE_BRIEF_QUICK_BUDGET}}</w:t>
                </w:r>
              </w:sdtContent>
            </w:sdt>
            <w:r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Termín a pevný míľnik</w:t>
            </w:r>
          </w:p>
          <w:p>
            <w:pPr>
              <w:pStyle w:val="RiseSmall"/>
            </w:pPr>
            <w:r>
              <w:t>Cieľový dátum, čo je neodkladné a prečo.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quick.deadline"/>
                <w:tag w:val="brief.quick.deadline"/>
                <w:lock w:val="sdtLocked"/>
              </w:sdtPr>
              <w:sdtContent>
                <w:r>
                  <w:t xml:space="preserve">{{RISE_BRIEF_QUICK_DEADLINE}}</w:t>
                </w:r>
              </w:sdtContent>
            </w:sdt>
            <w:r>
              <w:br/>
              <w:br/>
            </w:r>
          </w:p>
        </w:tc>
      </w:tr>
      <w:tr>
        <w:trPr>
          <w:cantSplit/>
        </w:trPr>
        <w:tc>
          <w:tcPr>
            <w:tcW w:type="dxa" w:w="345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Rozhodnutie a akceptácia</w:t>
            </w:r>
          </w:p>
          <w:p>
            <w:pPr>
              <w:pStyle w:val="RiseSmall"/>
            </w:pPr>
            <w:r>
              <w:t>Kto rozhodne a aký dôkaz potvrdí, že výstup možno prijať?</w:t>
            </w:r>
          </w:p>
        </w:tc>
        <w:tc>
          <w:tcPr>
            <w:tcW w:type="dxa" w:w="6179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quick.acceptance"/>
                <w:tag w:val="brief.quick.acceptance"/>
                <w:lock w:val="sdtLocked"/>
              </w:sdtPr>
              <w:sdtContent>
                <w:r>
                  <w:t xml:space="preserve">{{RISE_BRIEF_QUICK_ACCEPTANCE}}</w:t>
                </w:r>
              </w:sdtContent>
            </w:sdt>
            <w:r>
              <w:br/>
              <w:br/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1E8CF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Neviem / otvorené</w:t>
            </w:r>
          </w:p>
          <w:p>
            <w:pPr>
              <w:pStyle w:val="RiseSmall"/>
              <w:spacing w:after="0"/>
            </w:pPr>
            <w:r>
              <w:t>Otvorená odpoveď je prijateľná, ak má vlastníka a ďalší krok.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</w:pPr>
      <w:r>
        <w:t>3. Úplné kontraktačné minimum</w:t>
      </w:r>
    </w:p>
    <w:p>
      <w:pPr>
        <w:spacing w:after="140" w:line="252" w:lineRule="auto"/>
      </w:pPr>
      <w:r>
        <w:t>Povinné časti sa neskôr môžu premietnuť do rozsahu, akceptácie, harmonogramu a súčinnosti v ponuke alebo zmluve.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POVINNÉ  |  </w:t>
            </w:r>
            <w:r>
              <w:rPr>
                <w:rFonts w:ascii="Arial" w:hAnsi="Arial"/>
                <w:b/>
                <w:color w:val="302D27"/>
                <w:sz w:val="18"/>
              </w:rPr>
              <w:t>3.1 Problém, dnešný proces a dôkazy</w:t>
            </w:r>
          </w:p>
          <w:p>
            <w:pPr>
              <w:pStyle w:val="RiseSmall"/>
            </w:pPr>
            <w:r>
              <w:t>Opíšte kroky dnešného procesu, konkrétny príklad, objem, frekvenciu, čas, chyby, náklady a dostupnú spätnú väzbu.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context"/>
                <w:tag w:val="brief.detail.context"/>
                <w:lock w:val="sdtLocked"/>
              </w:sdtPr>
              <w:sdtContent>
                <w:r>
                  <w:t xml:space="preserve">{{RISE_BRIEF_DETAIL_CONTEXT}}</w:t>
                </w:r>
              </w:sdtContent>
            </w:sdt>
            <w:r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POVINNÉ  |  </w:t>
            </w:r>
            <w:r>
              <w:rPr>
                <w:rFonts w:ascii="Arial" w:hAnsi="Arial"/>
                <w:b/>
                <w:color w:val="302D27"/>
                <w:sz w:val="18"/>
              </w:rPr>
              <w:t>3.2 Používatelia a dotknuté osoby</w:t>
            </w:r>
          </w:p>
          <w:p>
            <w:pPr>
              <w:pStyle w:val="RiseSmall"/>
            </w:pPr>
            <w:r>
              <w:t>Kto problém zažíva, kto bude výstup používať, kto ho prevádzkuje a koho sa zmena môže negatívne dotknúť?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audiences"/>
                <w:tag w:val="brief.detail.audiences"/>
                <w:lock w:val="sdtLocked"/>
              </w:sdtPr>
              <w:sdtContent>
                <w:r>
                  <w:t xml:space="preserve">{{RISE_BRIEF_DETAIL_AUDIENCES}}</w:t>
                </w:r>
              </w:sdtContent>
            </w:sdt>
            <w:r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POVINNÉ  |  </w:t>
            </w:r>
            <w:r>
              <w:rPr>
                <w:rFonts w:ascii="Arial" w:hAnsi="Arial"/>
                <w:b/>
                <w:color w:val="302D27"/>
                <w:sz w:val="18"/>
              </w:rPr>
              <w:t>3.3 Želaný výsledok a východiskový stav</w:t>
            </w:r>
          </w:p>
          <w:p>
            <w:pPr>
              <w:pStyle w:val="RiseSmall"/>
            </w:pPr>
            <w:r>
              <w:t>Zapíšte želanú zmenu, dnešnú hodnotu, cieľovú hodnotu, zdroj merania, vlastníka metriky a termín vyhodnotenia.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goal"/>
                <w:tag w:val="brief.detail.goal"/>
                <w:lock w:val="sdtLocked"/>
              </w:sdtPr>
              <w:sdtContent>
                <w:r>
                  <w:t xml:space="preserve">{{RISE_BRIEF_DETAIL_GOAL}}</w:t>
                </w:r>
              </w:sdtContent>
            </w:sdt>
            <w:r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3. Úplné kontraktačné minimum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POVINNÉ  |  </w:t>
            </w:r>
            <w:r>
              <w:rPr>
                <w:rFonts w:ascii="Arial" w:hAnsi="Arial"/>
                <w:b/>
                <w:color w:val="302D27"/>
                <w:sz w:val="18"/>
              </w:rPr>
              <w:t>3.4 Rozsah zahrnutý a nezahrnutý</w:t>
            </w:r>
          </w:p>
          <w:p>
            <w:pPr>
              <w:pStyle w:val="RiseSmall"/>
            </w:pPr>
            <w:r>
              <w:t>Uveďte zahrnuté procesy, skupiny, kanály a systémy. Výslovne zapíšte vylúčenia a priority prvej etapy.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boundaries"/>
                <w:tag w:val="brief.detail.boundaries"/>
                <w:lock w:val="sdtLocked"/>
              </w:sdtPr>
              <w:sdtContent>
                <w:r>
                  <w:t xml:space="preserve">{{RISE_BRIEF_DETAIL_BOUNDARIES}}</w:t>
                </w:r>
              </w:sdtContent>
            </w:sdt>
            <w:r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POVINNÉ  |  </w:t>
            </w:r>
            <w:r>
              <w:rPr>
                <w:rFonts w:ascii="Arial" w:hAnsi="Arial"/>
                <w:b/>
                <w:color w:val="302D27"/>
                <w:sz w:val="18"/>
              </w:rPr>
              <w:t>3.5 Očakávané výstupy a kvalitatívne štandardy</w:t>
            </w:r>
          </w:p>
          <w:p>
            <w:pPr>
              <w:pStyle w:val="RiseSmall"/>
            </w:pPr>
            <w:r>
              <w:t>Čo sa odovzdá, v akom formáte, s akou dokumentáciou a podľa akých pozorovateľných pravidiel kvality?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deliverables"/>
                <w:tag w:val="brief.detail.deliverables"/>
                <w:lock w:val="sdtLocked"/>
              </w:sdtPr>
              <w:sdtContent>
                <w:r>
                  <w:t xml:space="preserve">{{RISE_BRIEF_DETAIL_DELIVERABLES}}</w:t>
                </w:r>
              </w:sdtContent>
            </w:sdt>
            <w:r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POVINNÉ  |  </w:t>
            </w:r>
            <w:r>
              <w:rPr>
                <w:rFonts w:ascii="Arial" w:hAnsi="Arial"/>
                <w:b/>
                <w:color w:val="302D27"/>
                <w:sz w:val="18"/>
              </w:rPr>
              <w:t>3.6 Akceptačné kritériá a overenie</w:t>
            </w:r>
          </w:p>
          <w:p>
            <w:pPr>
              <w:pStyle w:val="RiseSmall"/>
            </w:pPr>
            <w:r>
              <w:t>Pre každý podstatný výstup uveďte podmienku prijatia, spôsob testu alebo kontroly, zodpovednú osobu a termín akceptácie.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acceptance"/>
                <w:tag w:val="brief.detail.acceptance"/>
                <w:lock w:val="sdtLocked"/>
              </w:sdtPr>
              <w:sdtContent>
                <w:r>
                  <w:t xml:space="preserve">{{RISE_BRIEF_DETAIL_ACCEPTANCE}}</w:t>
                </w:r>
              </w:sdtContent>
            </w:sdt>
            <w:r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POVINNÉ  |  </w:t>
            </w:r>
            <w:r>
              <w:rPr>
                <w:rFonts w:ascii="Arial" w:hAnsi="Arial"/>
                <w:b/>
                <w:color w:val="302D27"/>
                <w:sz w:val="18"/>
              </w:rPr>
              <w:t>3.7 Rozpočet, termín a míľniky</w:t>
            </w:r>
          </w:p>
          <w:p>
            <w:pPr>
              <w:pStyle w:val="RiseSmall"/>
            </w:pPr>
            <w:r>
              <w:t>Uveďte rozpočtový režim, limity, cieľový termín, pevné dátumy, závislosti medzi míľnikmi a dôvody ich pevnosti.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delivery"/>
                <w:tag w:val="brief.detail.delivery"/>
                <w:lock w:val="sdtLocked"/>
              </w:sdtPr>
              <w:sdtContent>
                <w:r>
                  <w:t xml:space="preserve">{{RISE_BRIEF_DETAIL_DELIVERY}}</w:t>
                </w:r>
              </w:sdtContent>
            </w:sdt>
            <w:r>
              <w:br/>
              <w:br/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3. Úplné kontraktačné minimum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POVINNÉ  |  </w:t>
            </w:r>
            <w:r>
              <w:rPr>
                <w:rFonts w:ascii="Arial" w:hAnsi="Arial"/>
                <w:b/>
                <w:color w:val="302D27"/>
                <w:sz w:val="18"/>
              </w:rPr>
              <w:t>3.8 Povinnosti klienta a súčinnosť</w:t>
            </w:r>
          </w:p>
          <w:p>
            <w:pPr>
              <w:pStyle w:val="RiseSmall"/>
            </w:pPr>
            <w:r>
              <w:t>Kto a dokedy dodá podklady, prístupy a dáta? Kto bude dostupný na konzultácie, testovanie a rozhodnutia a v akej lehote?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collaboration"/>
                <w:tag w:val="brief.detail.collaboration"/>
                <w:lock w:val="sdtLocked"/>
              </w:sdtPr>
              <w:sdtContent>
                <w:r>
                  <w:t xml:space="preserve">{{RISE_BRIEF_DETAIL_COLLABORATION}}</w:t>
                </w:r>
              </w:sdtContent>
            </w:sdt>
            <w:r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DÔLEŽITÉ  |  </w:t>
            </w:r>
            <w:r>
              <w:rPr>
                <w:rFonts w:ascii="Arial" w:hAnsi="Arial"/>
                <w:b/>
                <w:color w:val="302D27"/>
                <w:sz w:val="18"/>
              </w:rPr>
              <w:t>3.9 Predpoklady, závislosti, riziká a otvorené otázky</w:t>
            </w:r>
          </w:p>
          <w:p>
            <w:pPr>
              <w:pStyle w:val="RiseSmall"/>
            </w:pPr>
            <w:r>
              <w:t>Oddeľte fakty od predpokladov. Uveďte vlastníka, termín a dôkaz potrebný na uzavretie každej podstatnej neistoty.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assumptions"/>
                <w:tag w:val="brief.detail.assumptions"/>
                <w:lock w:val="sdtLocked"/>
              </w:sdtPr>
              <w:sdtContent>
                <w:r>
                  <w:t xml:space="preserve">{{RISE_BRIEF_DETAIL_ASSUMPTIONS}}</w:t>
                </w:r>
              </w:sdtContent>
            </w:sdt>
            <w:r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E8B9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POVINNÉ  |  </w:t>
            </w:r>
            <w:r>
              <w:rPr>
                <w:rFonts w:ascii="Arial" w:hAnsi="Arial"/>
                <w:b/>
                <w:color w:val="302D27"/>
                <w:sz w:val="18"/>
              </w:rPr>
              <w:t>3.10 Zmeny rozsahu, termínu alebo rozpočtu</w:t>
            </w:r>
          </w:p>
          <w:p>
            <w:pPr>
              <w:pStyle w:val="RiseSmall"/>
            </w:pPr>
            <w:r>
              <w:t>Kto môže zmenu navrhnúť, kto posúdi dopad, kto ju schváli a kedy sa aktualizuje zadanie, ponuka alebo zmluva?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sdt>
              <w:sdtPr>
                <w:alias w:val="brief.detail.change_process"/>
                <w:tag w:val="brief.detail.change_process"/>
                <w:lock w:val="sdtLocked"/>
              </w:sdtPr>
              <w:sdtContent>
                <w:r>
                  <w:t xml:space="preserve">{{RISE_BRIEF_DETAIL_CHANGE_PROCESS}}</w:t>
                </w:r>
              </w:sdtContent>
            </w:sdt>
            <w:r>
              <w:br/>
              <w:br/>
              <w:br/>
              <w:br/>
              <w:br/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4. Matica požiadaviek a akceptácie</w:t>
      </w:r>
    </w:p>
    <w:p>
      <w:pPr>
        <w:spacing w:after="140" w:line="252" w:lineRule="auto"/>
      </w:pPr>
      <w:r>
        <w:t>Jedna požiadavka má vyjadriť jednu potrebu. Má byť jednoznačná, uskutočniteľná a overiteľná. Prioritu označte ako MUSÍ, MALO BY, MOHLO BY alebo TERAZ NIE.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rPr>
          <w:tblHeader w:val="true"/>
          <w:cantSplit/>
        </w:trPr>
        <w:tc>
          <w:tcPr>
            <w:tcW w:type="dxa" w:w="566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ID</w:t>
            </w:r>
          </w:p>
        </w:tc>
        <w:tc>
          <w:tcPr>
            <w:tcW w:type="dxa" w:w="102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Priorita</w:t>
            </w:r>
          </w:p>
        </w:tc>
        <w:tc>
          <w:tcPr>
            <w:tcW w:type="dxa" w:w="2211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Požiadavka</w:t>
            </w:r>
          </w:p>
        </w:tc>
        <w:tc>
          <w:tcPr>
            <w:tcW w:type="dxa" w:w="153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Dôvod</w:t>
            </w:r>
          </w:p>
        </w:tc>
        <w:tc>
          <w:tcPr>
            <w:tcW w:type="dxa" w:w="175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Spôsob overenia</w:t>
            </w:r>
          </w:p>
        </w:tc>
        <w:tc>
          <w:tcPr>
            <w:tcW w:type="dxa" w:w="963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Stav</w:t>
            </w:r>
          </w:p>
        </w:tc>
        <w:tc>
          <w:tcPr>
            <w:tcW w:type="dxa" w:w="158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Otvorená otázka</w:t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R-01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R-02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R-03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R-04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R-05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R-06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R-07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566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R-08</w:t>
              <w:br/>
              <w:br/>
            </w:r>
          </w:p>
        </w:tc>
        <w:tc>
          <w:tcPr>
            <w:tcW w:type="dxa" w:w="102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21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963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8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5. Dôležité dodacie a prevádzkové podmienky</w:t>
      </w:r>
    </w:p>
    <w:p>
      <w:pPr>
        <w:spacing w:after="140" w:line="252" w:lineRule="auto"/>
      </w:pPr>
      <w:r>
        <w:t>Tieto oblasti často menia cenu, harmonogram, architektúru alebo zodpovednosť. Ak nie sú relevantné, označte ich ako „nevzťahuje sa“.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3514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DÔLEŽITÉ</w:t>
            </w:r>
          </w:p>
        </w:tc>
        <w:tc>
          <w:tcPr>
            <w:tcW w:type="dxa" w:w="6122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[Kliknite a napíšte odpoveď]</w:t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Integrácie a externé závislosti</w:t>
            </w:r>
          </w:p>
          <w:p>
            <w:pPr>
              <w:pStyle w:val="RiseSmall"/>
            </w:pPr>
            <w:r>
              <w:t>Systémy, vlastníci, rozhrania, limity, dodávatelia a dostupnosť testovacieho prostredia.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integrations"/>
                <w:tag w:val="brief.important.integrations"/>
                <w:lock w:val="sdtLocked"/>
              </w:sdtPr>
              <w:sdtContent>
                <w:r>
                  <w:t xml:space="preserve">{{RISE_BRIEF_IMPORTANT_INTEGRATIONS}}</w:t>
                </w:r>
              </w:sdtContent>
            </w:sdt>
            <w:r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Bezpečnosť a prístupy</w:t>
            </w:r>
          </w:p>
          <w:p>
            <w:pPr>
              <w:pStyle w:val="RiseSmall"/>
            </w:pPr>
            <w:r>
              <w:t>Roly, overovanie, audit, bezpečnostné pravidlá, penetračné testy a proces nahlasovania incidentu.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security"/>
                <w:tag w:val="brief.important.security"/>
                <w:lock w:val="sdtLocked"/>
              </w:sdtPr>
              <w:sdtContent>
                <w:r>
                  <w:t xml:space="preserve">{{RISE_BRIEF_IMPORTANT_SECURITY}}</w:t>
                </w:r>
              </w:sdtContent>
            </w:sdt>
            <w:r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Osobné a regulované údaje</w:t>
            </w:r>
          </w:p>
          <w:p>
            <w:pPr>
              <w:pStyle w:val="RiseSmall"/>
            </w:pPr>
            <w:r>
              <w:t>Kategórie údajov, právny základ, minimalizácia, prenosy, uchovávanie, mazanie a zodpovedné osoby.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privacy"/>
                <w:tag w:val="brief.important.privacy"/>
                <w:lock w:val="sdtLocked"/>
              </w:sdtPr>
              <w:sdtContent>
                <w:r>
                  <w:t xml:space="preserve">{{RISE_BRIEF_IMPORTANT_PRIVACY}}</w:t>
                </w:r>
              </w:sdtContent>
            </w:sdt>
            <w:r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Licencie a duševné vlastníctvo</w:t>
            </w:r>
          </w:p>
          <w:p>
            <w:pPr>
              <w:pStyle w:val="RiseSmall"/>
            </w:pPr>
            <w:r>
              <w:t>Figma, fonty a licencie, zdrojová grafika, dokumenty, vlastníctvo výstupov, práva na úpravu a obmedzenia tretích strán.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licensing"/>
                <w:tag w:val="brief.important.licensing"/>
                <w:lock w:val="sdtLocked"/>
              </w:sdtPr>
              <w:sdtContent>
                <w:r>
                  <w:t xml:space="preserve">{{RISE_BRIEF_IMPORTANT_LICENSING}}</w:t>
                </w:r>
              </w:sdtContent>
            </w:sdt>
            <w:r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Hosting a prostredia</w:t>
            </w:r>
          </w:p>
          <w:p>
            <w:pPr>
              <w:pStyle w:val="RiseSmall"/>
            </w:pPr>
            <w:r>
              <w:t>Kto poskytuje vývojové, testovacie a produkčné prostredie, región, zálohy a prístupové pravidlá.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hosting"/>
                <w:tag w:val="brief.important.hosting"/>
                <w:lock w:val="sdtLocked"/>
              </w:sdtPr>
              <w:sdtContent>
                <w:r>
                  <w:t xml:space="preserve">{{RISE_BRIEF_IMPORTANT_HOSTING}}</w:t>
                </w:r>
              </w:sdtContent>
            </w:sdt>
            <w:r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Prevádzka a dostupnosť</w:t>
            </w:r>
          </w:p>
          <w:p>
            <w:pPr>
              <w:pStyle w:val="RiseSmall"/>
            </w:pPr>
            <w:r>
              <w:t>Prevádzkové hodiny, prijateľný výpadok, obnova, monitoring, kapacita a zodpovednosť po spustení.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operations"/>
                <w:tag w:val="brief.important.operations"/>
                <w:lock w:val="sdtLocked"/>
              </w:sdtPr>
              <w:sdtContent>
                <w:r>
                  <w:t xml:space="preserve">{{RISE_BRIEF_IMPORTANT_OPERATIONS}}</w:t>
                </w:r>
              </w:sdtContent>
            </w:sdt>
            <w:r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Podpora a incidenty</w:t>
            </w:r>
          </w:p>
          <w:p>
            <w:pPr>
              <w:pStyle w:val="RiseSmall"/>
            </w:pPr>
            <w:r>
              <w:t>Kontaktné miesto, priority, reakčné časy, eskalácia, údržba a podmienky pohotovosti.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support"/>
                <w:tag w:val="brief.important.support"/>
                <w:lock w:val="sdtLocked"/>
              </w:sdtPr>
              <w:sdtContent>
                <w:r>
                  <w:t xml:space="preserve">{{RISE_BRIEF_IMPORTANT_SUPPORT}}</w:t>
                </w:r>
              </w:sdtContent>
            </w:sdt>
            <w:r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Odovzdanie a ukončenie</w:t>
            </w:r>
          </w:p>
          <w:p>
            <w:pPr>
              <w:pStyle w:val="RiseSmall"/>
            </w:pPr>
            <w:r>
              <w:t>Zdrojové súbory, dokumentácia, účty, export dát, školenie, preberací protokol a podmienky prechodu k inému dodávateľovi.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handover"/>
                <w:tag w:val="brief.important.handover"/>
                <w:lock w:val="sdtLocked"/>
              </w:sdtPr>
              <w:sdtContent>
                <w:r>
                  <w:t xml:space="preserve">{{RISE_BRIEF_IMPORTANT_HANDOVER}}</w:t>
                </w:r>
              </w:sdtContent>
            </w:sdt>
            <w:r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Prístupnosť, súlad a povinné normy</w:t>
            </w:r>
          </w:p>
          <w:p>
            <w:pPr>
              <w:pStyle w:val="RiseSmall"/>
            </w:pPr>
            <w:r>
              <w:t>Uplatniteľné pravidlá, cieľová úroveň, spôsob testovania a osoba, ktorá súlad potvrdí.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accessibility"/>
                <w:tag w:val="brief.important.accessibility"/>
                <w:lock w:val="sdtLocked"/>
              </w:sdtPr>
              <w:sdtContent>
                <w:r>
                  <w:t xml:space="preserve">{{RISE_BRIEF_IMPORTANT_ACCESSIBILITY}}</w:t>
                </w:r>
              </w:sdtContent>
            </w:sdt>
            <w:r>
              <w:br/>
            </w:r>
          </w:p>
        </w:tc>
      </w:tr>
      <w:tr>
        <w:trPr>
          <w:cantSplit/>
        </w:trPr>
        <w:tc>
          <w:tcPr>
            <w:tcW w:type="dxa" w:w="3514"/>
            <w:shd w:fill="EEEAE1"/>
            <w:tcBorders>
              <w:top w:val="single" w:sz="6" w:color="D9D4C8"/>
              <w:left w:val="single" w:sz="18" w:color="DAB549" w:space="0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302D27"/>
                <w:sz w:val="16"/>
              </w:rPr>
              <w:t>Dostupnosť klientovho tímu</w:t>
            </w:r>
          </w:p>
          <w:p>
            <w:pPr>
              <w:pStyle w:val="RiseSmall"/>
            </w:pPr>
            <w:r>
              <w:t>Mená alebo roly, kapacita, plánované absencie a maximálna lehota na spätnú väzbu a rozhodnutie.</w:t>
            </w:r>
          </w:p>
        </w:tc>
        <w:tc>
          <w:tcPr>
            <w:tcW w:type="dxa" w:w="6122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pStyle w:val="RiseResponse"/>
            </w:pPr>
            <w:sdt>
              <w:sdtPr>
                <w:alias w:val="brief.important.team_availability"/>
                <w:tag w:val="brief.important.team_availability"/>
                <w:lock w:val="sdtLocked"/>
              </w:sdtPr>
              <w:sdtContent>
                <w:r>
                  <w:t xml:space="preserve">{{RISE_BRIEF_IMPORTANT_TEAM_AVAILABILITY}}</w:t>
                </w:r>
              </w:sdtContent>
            </w:sdt>
            <w:r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6. Voliteľné moduly podľa typu projektu</w:t>
      </w:r>
    </w:p>
    <w:p>
      <w:pPr>
        <w:spacing w:after="140" w:line="252" w:lineRule="auto"/>
      </w:pPr>
      <w:r>
        <w:t>Vyplňte iba relevantné moduly. Povinnosť v module znamená, že odpoveď je potrebná vtedy, keď je modul súčasťou projektu.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1E8CF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VOLITEĽNÉ</w:t>
            </w:r>
          </w:p>
          <w:p>
            <w:pPr>
              <w:pStyle w:val="RiseSmall"/>
              <w:spacing w:after="0"/>
            </w:pPr>
            <w:r>
              <w:t>Vymažte moduly, ktoré sa projektu netýkajú.</w:t>
            </w:r>
          </w:p>
        </w:tc>
      </w:tr>
    </w:tbl>
    <w:p>
      <w:pPr>
        <w:spacing w:after="0"/>
      </w:pPr>
    </w:p>
    <w:p>
      <w:pPr>
        <w:pStyle w:val="Heading1"/>
      </w:pPr>
      <w:r>
        <w:t>6A. Softvér a modernizácia</w:t>
      </w:r>
    </w:p>
    <w:p>
      <w:pPr>
        <w:spacing w:after="140" w:line="252" w:lineRule="auto"/>
      </w:pPr>
      <w:r>
        <w:t>Pre nový systém, portál, integráciu, mobilnú alebo webovú aplikáciu a úpravu existujúceho riešenia.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VOLITEĽNÉ   ☐ Neviem / otvorené   ☐ POVINNÉ ak je modul súčasťou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Roly a oprávnenia</w:t>
            </w:r>
          </w:p>
          <w:p>
            <w:pPr>
              <w:pStyle w:val="RiseSmall"/>
            </w:pPr>
            <w:r>
              <w:t>Kto systém používa a čo smie každá rola čítať, meniť, schvaľovať alebo exportovať?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Hlavný pracovný tok</w:t>
            </w:r>
          </w:p>
          <w:p>
            <w:pPr>
              <w:pStyle w:val="RiseSmall"/>
            </w:pPr>
            <w:r>
              <w:t>Opíšte najdôležitejší proces od vstupu po výsledok vrátane výnimiek a chýb.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Funkčné hranice</w:t>
            </w:r>
          </w:p>
          <w:p>
            <w:pPr>
              <w:pStyle w:val="RiseSmall"/>
            </w:pPr>
            <w:r>
              <w:t>Čo systém musí urobiť, čo nesmie urobiť a ktoré kroky zostávajú mimo neho?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Nefunkčné požiadavky</w:t>
            </w:r>
          </w:p>
          <w:p>
            <w:pPr>
              <w:pStyle w:val="RiseSmall"/>
            </w:pPr>
            <w:r>
              <w:t>Odozva, kapacita, dostupnosť, kompatibilita, prístupnosť, audit a bezpečnosť.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Migrácia a integrácie</w:t>
            </w:r>
          </w:p>
          <w:p>
            <w:pPr>
              <w:pStyle w:val="RiseSmall"/>
            </w:pPr>
            <w:r>
              <w:t>Historické dáta, kvalita dát, mapovanie, rozhrania, vlastníci a spôsob skúšky.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Testovanie a nasadenie</w:t>
            </w:r>
          </w:p>
          <w:p>
            <w:pPr>
              <w:pStyle w:val="RiseSmall"/>
            </w:pPr>
            <w:r>
              <w:t>Testovacie scenáre, prostredia, pilot, návrat späť a osoba oprávnená spustenie schváliť.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6B. AI a automatizácia</w:t>
      </w:r>
    </w:p>
    <w:p>
      <w:pPr>
        <w:spacing w:after="140" w:line="252" w:lineRule="auto"/>
      </w:pPr>
      <w:r>
        <w:t>Pre klasifikáciu, extrakciu, generovanie, odporúčanie alebo automatizovaný rozhodovací krok.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VOLITEĽNÉ   ☐ Neviem / otvorené   ☐ POVINNÉ ak je modul súčasťou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Kontext použitia, úloha, vstup a výstup</w:t>
            </w:r>
          </w:p>
          <w:p>
            <w:pPr>
              <w:pStyle w:val="RiseSmall"/>
            </w:pPr>
            <w:r>
              <w:t>Kto AI použije, v akej situácii, akú úlohu vykoná, čo dostane a čo vráti?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Zdroj dát a oprávnenie</w:t>
            </w:r>
          </w:p>
          <w:p>
            <w:pPr>
              <w:pStyle w:val="RiseSmall"/>
            </w:pPr>
            <w:r>
              <w:t>Odkiaľ dáta pochádzajú, kto ich vlastní, na aký účel sa smú použiť a aké licencie platia?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Ľudská kontrola a eskalácia</w:t>
            </w:r>
          </w:p>
          <w:p>
            <w:pPr>
              <w:pStyle w:val="RiseSmall"/>
            </w:pPr>
            <w:r>
              <w:t>Ktoré výstupy človek vždy skontroluje, čo môže opraviť a kedy musí prípad prevziať?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Zakázané použitia</w:t>
            </w:r>
          </w:p>
          <w:p>
            <w:pPr>
              <w:pStyle w:val="RiseSmall"/>
            </w:pPr>
            <w:r>
              <w:t>Ktoré osoby, rozhodnutia, údaje alebo situácie AI nikdy nesmie spracovať alebo uzavrieť sama?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Cena chyby a bezpečný stav</w:t>
            </w:r>
          </w:p>
          <w:p>
            <w:pPr>
              <w:pStyle w:val="RiseSmall"/>
            </w:pPr>
            <w:r>
              <w:t>Čo spôsobí nesprávny výstup, ako sa škoda obmedzí a aký je bezpečný náhradný postup?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Testovanie a prah prijatia</w:t>
            </w:r>
          </w:p>
          <w:p>
            <w:pPr>
              <w:pStyle w:val="RiseSmall"/>
            </w:pPr>
            <w:r>
              <w:t>Referenčná vzorka, metriky, segmenty, chybové scenáre, minimálny prah a osoba, ktorá výsledok schváli.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Monitoring a incidenty</w:t>
            </w:r>
          </w:p>
          <w:p>
            <w:pPr>
              <w:pStyle w:val="RiseSmall"/>
            </w:pPr>
            <w:r>
              <w:t>Kto sleduje kvalitu, zmeny dát, sťažnosti a incidenty, ako často a komu ich hlási?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Vypnutie, návrat späť a zmena modelu</w:t>
            </w:r>
          </w:p>
          <w:p>
            <w:pPr>
              <w:pStyle w:val="RiseSmall"/>
            </w:pPr>
            <w:r>
              <w:t>Kto môže AI vypnúť, ako pokračuje proces bez nej a čo sa musí znovu overiť po zmene modelu?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6C. UX/UI a produktový dizajn</w:t>
      </w:r>
    </w:p>
    <w:p>
      <w:pPr>
        <w:spacing w:after="140" w:line="252" w:lineRule="auto"/>
      </w:pPr>
      <w:r>
        <w:t>Pre návrh alebo zlepšenie digitálnej služby, produktu, webu a pracovného toku.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VOLITEĽNÉ   ☐ Neviem / otvorené   ☐ POVINNÉ ak je modul súčasťou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Úlohy a potreby používateľov</w:t>
            </w:r>
          </w:p>
          <w:p>
            <w:pPr>
              <w:pStyle w:val="RiseSmall"/>
            </w:pPr>
            <w:r>
              <w:t>Čo sa ľudia snažia dosiahnuť, v akom kontexte a kde sa dnes zaseknú?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Dôkazy a výskum</w:t>
            </w:r>
          </w:p>
          <w:p>
            <w:pPr>
              <w:pStyle w:val="RiseSmall"/>
            </w:pPr>
            <w:r>
              <w:t>Pozorovania, rozhovory, analytika, podpora, obmedzenia vzorky a otvorené otázky.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Platformy, stavy a obsah</w:t>
            </w:r>
          </w:p>
          <w:p>
            <w:pPr>
              <w:pStyle w:val="RiseSmall"/>
            </w:pPr>
            <w:r>
              <w:t>Zariadenia, rozlíšenia, jazyky, načítanie, chyba, prázdny stav a zodpovednosť za obsah.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Značka a dizajn systém</w:t>
            </w:r>
          </w:p>
          <w:p>
            <w:pPr>
              <w:pStyle w:val="RiseSmall"/>
            </w:pPr>
            <w:r>
              <w:t>Brand manuál, Figma, komponenty, zdrojová grafika, licencie fontov, povinné prvky a povolené odchýlky.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Prístupnosť a použiteľnosť</w:t>
            </w:r>
          </w:p>
          <w:p>
            <w:pPr>
              <w:pStyle w:val="RiseSmall"/>
            </w:pPr>
            <w:r>
              <w:t>Cieľová úroveň, podporné technológie, testovací scenár a prah úspechu.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Odovzdanie dizajnu</w:t>
            </w:r>
          </w:p>
          <w:p>
            <w:pPr>
              <w:pStyle w:val="RiseSmall"/>
            </w:pPr>
            <w:r>
              <w:t>Formát zdrojov, prototyp, špecifikácia, tokeny, obsah, review implementácie a vlastníctvo.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6D. Marketing a komunikácia</w:t>
      </w:r>
    </w:p>
    <w:p>
      <w:pPr>
        <w:spacing w:after="140" w:line="252" w:lineRule="auto"/>
      </w:pPr>
      <w:r>
        <w:t>Pre pozicioning, kampaň, web, obsah, SEO, organické kanály, meranie a reporting.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VOLITEĽNÉ   ☐ Neviem / otvorené   ☐ POVINNÉ ak je modul súčasťou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Publikum a situácia</w:t>
            </w:r>
          </w:p>
          <w:p>
            <w:pPr>
              <w:pStyle w:val="RiseSmall"/>
            </w:pPr>
            <w:r>
              <w:t>Koho chcete osloviť, čo dnes robí alebo verí a aké bariéry mu bránia konať?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Želaná zmena a akcia</w:t>
            </w:r>
          </w:p>
          <w:p>
            <w:pPr>
              <w:pStyle w:val="RiseSmall"/>
            </w:pPr>
            <w:r>
              <w:t>Čo má publikum pochopiť, cítiť alebo urobiť a v akom čase?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Východiskový stav a cieľ</w:t>
            </w:r>
          </w:p>
          <w:p>
            <w:pPr>
              <w:pStyle w:val="RiseSmall"/>
            </w:pPr>
            <w:r>
              <w:t>Dnešné návštevy, dopyty, konverzia, znalosť alebo iná metrika a cieľová hodnota.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Správa, dôkaz a povinné prvky</w:t>
            </w:r>
          </w:p>
          <w:p>
            <w:pPr>
              <w:pStyle w:val="RiseSmall"/>
            </w:pPr>
            <w:r>
              <w:t>Hlavné tvrdenie, dôkaz, povinné texty, právne obmedzenia a zakázané formulácie.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Kanály, formáty a podklady</w:t>
            </w:r>
          </w:p>
          <w:p>
            <w:pPr>
              <w:pStyle w:val="RiseSmall"/>
            </w:pPr>
            <w:r>
              <w:t>Vlastné a organické kanály, účty v službách tretích strán, rozmery, jazyky, obsah, fotografie, zdrojová grafika, prístupy a termíny dodania.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Meranie a schvaľovanie</w:t>
            </w:r>
          </w:p>
          <w:p>
            <w:pPr>
              <w:pStyle w:val="RiseSmall"/>
            </w:pPr>
            <w:r>
              <w:t>Zdroj dát, atribúcia, report, frekvencia, vlastník, pripomienkovanie a konečný schvaľovateľ.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6E. Audit, poradenstvo alebo iný problém</w:t>
      </w:r>
    </w:p>
    <w:p>
      <w:pPr>
        <w:spacing w:after="140" w:line="252" w:lineRule="auto"/>
      </w:pPr>
      <w:r>
        <w:t>Pre nezávislé posúdenie, rozhodnutie o investícii, plán zmeny alebo problém mimo ostatných modulov.</w:t>
      </w:r>
    </w:p>
    <w:p>
      <w:pPr>
        <w:spacing w:after="120"/>
      </w:pPr>
      <w:r>
        <w:rPr>
          <w:rFonts w:ascii="Arial" w:hAnsi="Arial"/>
          <w:b/>
          <w:color w:val="8B6723"/>
          <w:sz w:val="17"/>
        </w:rPr>
        <w:t>☐ VOLITEĽNÉ   ☐ Neviem / otvorené   ☐ POVINNÉ ak je modul súčasťou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Rozhodnutie a hlavné otázky</w:t>
            </w:r>
          </w:p>
          <w:p>
            <w:pPr>
              <w:pStyle w:val="RiseSmall"/>
            </w:pPr>
            <w:r>
              <w:t>Aké rozhodnutie má výstup podporiť a na ktoré otázky musí odpovedať?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Možnosti a hodnotiace kritériá</w:t>
            </w:r>
          </w:p>
          <w:p>
            <w:pPr>
              <w:pStyle w:val="RiseSmall"/>
            </w:pPr>
            <w:r>
              <w:t>Ktoré možnosti sa zvažujú a podľa čoho sa majú porovnať?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Dôkazy, prístupy a hranice</w:t>
            </w:r>
          </w:p>
          <w:p>
            <w:pPr>
              <w:pStyle w:val="RiseSmall"/>
            </w:pPr>
            <w:r>
              <w:t>Ktoré podklady, rozhovory a systémy sú dostupné a čo sa nesmie meniť?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Nezávislosť a konflikty</w:t>
            </w:r>
          </w:p>
          <w:p>
            <w:pPr>
              <w:pStyle w:val="RiseSmall"/>
            </w:pPr>
            <w:r>
              <w:t>Ktoré vzťahy, dodávatelia alebo predchádzajúce rozhodnutia môžu ovplyvniť nestrannosť?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rPr>
          <w:cantSplit/>
        </w:trPr>
        <w:tc>
          <w:tcPr>
            <w:tcW w:type="dxa" w:w="9638"/>
            <w:shd w:fill="F6F4EF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8B6723"/>
                <w:sz w:val="15"/>
              </w:rPr>
              <w:t xml:space="preserve">VOLITEĽNÉ  |  </w:t>
            </w:r>
            <w:r>
              <w:rPr>
                <w:rFonts w:ascii="Arial" w:hAnsi="Arial"/>
                <w:b/>
                <w:color w:val="302D27"/>
                <w:sz w:val="18"/>
              </w:rPr>
              <w:t>Výstup a odporúčanie</w:t>
            </w:r>
          </w:p>
          <w:p>
            <w:pPr>
              <w:pStyle w:val="RiseSmall"/>
            </w:pPr>
            <w:r>
              <w:t>Formát, publikum, úroveň detailu, termín, spôsob prezentácie a požadovaný realizačný plán.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pStyle w:val="RiseResponse"/>
            </w:pPr>
            <w:r>
              <w:t>Neviem / otvorené</w:t>
            </w:r>
            <w:r>
              <w:br/>
              <w:br/>
            </w:r>
          </w:p>
        </w:tc>
      </w:tr>
    </w:tbl>
    <w:p>
      <w:pPr>
        <w:spacing w:after="0" w:before="0"/>
      </w:pPr>
    </w:p>
    <w:p>
      <w:r>
        <w:br w:type="page"/>
      </w:r>
    </w:p>
    <w:p>
      <w:pPr>
        <w:pStyle w:val="Heading1"/>
      </w:pPr>
      <w:r>
        <w:t>7. Ako brief doplniť pomocou AI</w:t>
      </w:r>
    </w:p>
    <w:p>
      <w:pPr>
        <w:spacing w:after="140" w:line="252" w:lineRule="auto"/>
      </w:pPr>
      <w:r>
        <w:t>Na rise.sk/vzor-zadania môžete z rýchlych výberov pripraviť prompt pre ChatGPT alebo Claude. AI má klásť jednu otázku naraz, rozlišovať fakty, predpoklady, rozhodnutia a otvorené otázky a nesmie vymýšľať záväzky.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6E8B9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Nevkladajte citlivé tajomstvá</w:t>
            </w:r>
          </w:p>
          <w:p>
            <w:pPr>
              <w:pStyle w:val="RiseSmall"/>
              <w:spacing w:after="0"/>
            </w:pPr>
            <w:r>
              <w:t>Do dokumentu nevkladajte heslá, API kľúče, celé produkčné exporty, obchodné tajomstvá ani neanonymizované osobné údaje. Uveďte iba kategóriu údajov a spôsob, akým možno podklady neskôr bezpečne sprístupniť. Figma návrhy a grafické podklady zdieľajte cez pozvánku na rise@rise.sk a pri fontoch uveďte licenciu. Prístupy k službám tretích strán poskytnite cez správu rolí, nikdy neposielajte heslá ani API kľúče.</w:t>
            </w:r>
          </w:p>
        </w:tc>
      </w:tr>
    </w:tbl>
    <w:p>
      <w:pPr>
        <w:spacing w:after="0"/>
      </w:pP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Stiahnite túto šablónu a vyplňte aspoň rýchle minimum.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Na stránke vyberte odpovede a otvorte ChatGPT alebo Claude pripraveným tlačidlom.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Vložte skopírovaný prompt a dokument priložte ručne.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Ak je to rýchlejšie, zapnite hlasový rozhovor a projekt opíšte vlastnými slovami.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Pred vložením dôverných údajov overte súhlas organizácie a nastavenia ochrany dát služby.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Výsledok skontrolujte človekom. Právne podmienky a záväzky musí potvrdiť oprávnená osoba.</w:t>
      </w:r>
    </w:p>
    <w:p>
      <w:pPr>
        <w:spacing w:before="120"/>
      </w:pPr>
      <w:hyperlink r:id="rId11">
        <w:r>
          <w:rPr>
            <w:rFonts w:ascii="Arial" w:hAnsi="Arial"/>
            <w:color w:val="8B6723"/>
            <w:u w:val="single"/>
          </w:rPr>
          <w:t>rise.sk/vzor-zadania</w:t>
        </w:r>
      </w:hyperlink>
    </w:p>
    <w:p>
      <w:r>
        <w:br w:type="page"/>
      </w:r>
    </w:p>
    <w:p>
      <w:pPr>
        <w:pStyle w:val="Heading1"/>
      </w:pPr>
      <w:r>
        <w:t>8. Register príloh</w:t>
      </w:r>
    </w:p>
    <w:p>
      <w:pPr>
        <w:spacing w:after="140" w:line="252" w:lineRule="auto"/>
      </w:pPr>
      <w:r>
        <w:t>Každú prílohu identifikujte tak, aby bolo zrejmé, ktorú verziu strany použili. Výslovne označte, či má byť súčasťou zmluvy. Uveďte aj Figmu, fonty a licencie, zdrojovú grafiku, brand manuál, dokumenty a účty v službách tretích strán.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204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Názov prílohy</w:t>
            </w:r>
          </w:p>
        </w:tc>
        <w:tc>
          <w:tcPr>
            <w:tcW w:type="dxa" w:w="170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Verzia a dátum</w:t>
            </w:r>
          </w:p>
        </w:tc>
        <w:tc>
          <w:tcPr>
            <w:tcW w:type="dxa" w:w="1530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Vlastník</w:t>
            </w:r>
          </w:p>
        </w:tc>
        <w:tc>
          <w:tcPr>
            <w:tcW w:type="dxa" w:w="2721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Umiestnenie alebo spôsob odovzdania</w:t>
            </w:r>
          </w:p>
        </w:tc>
        <w:tc>
          <w:tcPr>
            <w:tcW w:type="dxa" w:w="1644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Súčasť zmluvy  áno / nie</w:t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R-01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R-02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R-03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R-04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R-05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204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R-06</w:t>
              <w:br/>
              <w:br/>
            </w:r>
          </w:p>
        </w:tc>
        <w:tc>
          <w:tcPr>
            <w:tcW w:type="dxa" w:w="170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530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64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</w:tbl>
    <w:p>
      <w:pPr>
        <w:pStyle w:val="Heading1"/>
      </w:pPr>
      <w:r>
        <w:t>9. Kontrola, schválenie a záznam zmien</w:t>
      </w:r>
    </w:p>
    <w:p>
      <w:pPr>
        <w:spacing w:after="140" w:line="252" w:lineRule="auto"/>
      </w:pPr>
      <w:r>
        <w:t>Podpis v tomto vzore nenahrádza podpis zmluvy. Slúži na potvrdenie, že určené osoby skontrolovali pracovnú verziu zadania.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175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Rola</w:t>
            </w:r>
          </w:p>
        </w:tc>
        <w:tc>
          <w:tcPr>
            <w:tcW w:type="dxa" w:w="1814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Meno</w:t>
            </w:r>
          </w:p>
        </w:tc>
        <w:tc>
          <w:tcPr>
            <w:tcW w:type="dxa" w:w="192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Rozhodnutie</w:t>
            </w:r>
          </w:p>
        </w:tc>
        <w:tc>
          <w:tcPr>
            <w:tcW w:type="dxa" w:w="1417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Dátum</w:t>
            </w:r>
          </w:p>
        </w:tc>
        <w:tc>
          <w:tcPr>
            <w:tcW w:type="dxa" w:w="2721"/>
            <w:shd w:fill="181611"/>
            <w:tcBorders>
              <w:top w:val="single" w:sz="6" w:color="181611"/>
              <w:left w:val="single" w:sz="6" w:color="181611"/>
              <w:bottom w:val="single" w:sz="6" w:color="181611"/>
              <w:right w:val="single" w:sz="6" w:color="181611"/>
              <w:insideH w:val="single" w:sz="6" w:color="181611"/>
              <w:insideV w:val="single" w:sz="6" w:color="181611"/>
            </w:tcBorders>
            <w:tcMar>
              <w:top w:w="70" w:type="dxa"/>
              <w:start w:w="65" w:type="dxa"/>
              <w:bottom w:w="70" w:type="dxa"/>
              <w:end w:w="65" w:type="dxa"/>
            </w:tcMar>
          </w:tcPr>
          <w:p>
            <w:pPr>
              <w:pStyle w:val="RiseTable"/>
            </w:pPr>
            <w:r>
              <w:rPr>
                <w:rFonts w:ascii="Arial" w:hAnsi="Arial"/>
                <w:b/>
                <w:color w:val="FFFFFF"/>
                <w:sz w:val="15"/>
              </w:rPr>
              <w:t>Poznámka</w:t>
            </w:r>
          </w:p>
        </w:tc>
      </w:tr>
      <w:tr>
        <w:trPr>
          <w:cantSplit/>
        </w:trPr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R-01</w:t>
              <w:br/>
              <w:br/>
            </w:r>
          </w:p>
        </w:tc>
        <w:tc>
          <w:tcPr>
            <w:tcW w:type="dxa" w:w="181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92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41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R-02</w:t>
              <w:br/>
              <w:br/>
            </w:r>
          </w:p>
        </w:tc>
        <w:tc>
          <w:tcPr>
            <w:tcW w:type="dxa" w:w="181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92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41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R-03</w:t>
              <w:br/>
              <w:br/>
            </w:r>
          </w:p>
        </w:tc>
        <w:tc>
          <w:tcPr>
            <w:tcW w:type="dxa" w:w="181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92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41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  <w:tr>
        <w:trPr>
          <w:cantSplit/>
        </w:trPr>
        <w:tc>
          <w:tcPr>
            <w:tcW w:type="dxa" w:w="175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R-04</w:t>
              <w:br/>
              <w:br/>
            </w:r>
          </w:p>
        </w:tc>
        <w:tc>
          <w:tcPr>
            <w:tcW w:type="dxa" w:w="1814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92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1417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  <w:tc>
          <w:tcPr>
            <w:tcW w:type="dxa" w:w="2721"/>
            <w:tcBorders>
              <w:top w:val="single" w:sz="6" w:color="D9D4C8"/>
              <w:left w:val="single" w:sz="6" w:color="D9D4C8"/>
              <w:bottom w:val="single" w:sz="6" w:color="D9D4C8"/>
              <w:right w:val="single" w:sz="6" w:color="D9D4C8"/>
              <w:insideH w:val="single" w:sz="6" w:color="D9D4C8"/>
              <w:insideV w:val="single" w:sz="6" w:color="D9D4C8"/>
            </w:tcBorders>
            <w:tcMar>
              <w:top w:w="60" w:type="dxa"/>
              <w:start w:w="55" w:type="dxa"/>
              <w:bottom w:w="60" w:type="dxa"/>
              <w:end w:w="55" w:type="dxa"/>
            </w:tcMar>
            <w:shd w:fill="F6F4EF"/>
          </w:tcPr>
          <w:p>
            <w:pPr>
              <w:pStyle w:val="RiseResponse"/>
            </w:pPr>
            <w:r>
              <w:t>Neviem / otvorené</w:t>
              <w:br/>
              <w:br/>
            </w:r>
          </w:p>
        </w:tc>
      </w:tr>
    </w:tbl>
    <w:p>
      <w:r>
        <w:br w:type="page"/>
      </w:r>
    </w:p>
    <w:p>
      <w:pPr>
        <w:pStyle w:val="Heading1"/>
      </w:pPr>
      <w:r>
        <w:t>Kontrola pred odoslaním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Každá povinná časť má odpoveď alebo označenie „neviem / otvorené“.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Problém a dôkazy sú zrozumiteľné aj človeku mimo tímu.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Rozsah obsahuje zahrnuté aj výslovne nezahrnuté položky.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Podstatné výstupy majú overiteľné akceptačné kritériá a vlastníka.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Rozpočet, termín, míľniky a povinnosti klienta sú uvedené.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Predpoklady, závislosti, riziká a otvorené otázky majú vlastníka.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Register príloh uvádza verziu a zmluvný status každej prílohy.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Súbory sú poslané alebo zdieľané s rise@rise.sk a do služieb tretích strán bola na tento e-mail odoslaná pozvánka.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Dokument neobsahuje heslá, API kľúče ani nechránené citlivé údaje.</w:t>
      </w:r>
    </w:p>
    <w:p>
      <w:pPr>
        <w:spacing w:after="60"/>
        <w:ind w:left="255" w:hanging="198"/>
      </w:pPr>
      <w:r>
        <w:rPr>
          <w:rFonts w:ascii="Arial" w:hAnsi="Arial"/>
          <w:b/>
          <w:color w:val="8B6723"/>
        </w:rPr>
        <w:t xml:space="preserve">•  </w:t>
      </w:r>
      <w:r>
        <w:rPr>
          <w:rFonts w:ascii="Arial" w:hAnsi="Arial"/>
          <w:color w:val="302D27"/>
          <w:sz w:val="18"/>
        </w:rPr>
        <w:t>☐ Právnik skontroloval dokument, ak sa má stať záväznou prílohou.</w:t>
      </w:r>
    </w:p>
    <w:tbl>
      <w:tblPr>
        <w:tblW w:type="auto" w:w="0"/>
        <w:tblLook w:firstColumn="1" w:firstRow="1" w:lastColumn="0" w:lastRow="0" w:noHBand="0" w:noVBand="1" w:val="04A0"/>
        <w:jc w:val="center"/>
        <w:tblLayout w:type="fixed"/>
      </w:tblPr>
      <w:tblGrid>
        <w:gridCol w:w="9638"/>
      </w:tblGrid>
      <w:tr>
        <w:tc>
          <w:tcPr>
            <w:tcW w:type="dxa" w:w="9638"/>
            <w:shd w:fill="F1E8CF"/>
            <w:tcBorders>
              <w:top w:val="single" w:sz="8" w:color="8B6723"/>
              <w:left w:val="single" w:sz="8" w:color="8B6723"/>
              <w:bottom w:val="single" w:sz="8" w:color="8B6723"/>
              <w:right w:val="single" w:sz="8" w:color="8B6723"/>
              <w:insideH w:val="single" w:sz="8" w:color="8B6723"/>
              <w:insideV w:val="single" w:sz="8" w:color="8B6723"/>
            </w:tcBorders>
            <w:tcMar>
              <w:top w:w="100" w:type="dxa"/>
              <w:start w:w="140" w:type="dxa"/>
              <w:bottom w:w="110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color w:val="8B6723"/>
                <w:sz w:val="19"/>
              </w:rPr>
              <w:t>Úloha dokumentu</w:t>
            </w:r>
          </w:p>
          <w:p>
            <w:pPr>
              <w:pStyle w:val="RiseSmall"/>
              <w:spacing w:after="0"/>
            </w:pPr>
            <w:r>
              <w:t>Tento brief je vstupom pre posúdenie, ponuku a prípravu zmluvy. Nie je samostatnou zmluvou ani právnou radou. Ak má byť prílohou zmluvy, označte ho názvom, verziou a dátumom, uveďte ho v registri príloh a nechajte zmluvné znenie skontrolovať právnikom.</w:t>
            </w:r>
          </w:p>
        </w:tc>
      </w:tr>
    </w:tbl>
    <w:p>
      <w:pPr>
        <w:spacing w:after="0"/>
      </w:pPr>
    </w:p>
    <w:p>
      <w:pPr>
        <w:pStyle w:val="Heading1"/>
      </w:pPr>
      <w:r>
        <w:t>Metodické zdroje</w:t>
      </w:r>
    </w:p>
    <w:p>
      <w:pPr>
        <w:spacing w:after="140" w:line="252" w:lineRule="auto"/>
      </w:pPr>
      <w:r>
        <w:t>Štruktúra je syntézou verejných odborných odporúčaní. Text zdrojových šablón nekopírujeme. Odkazy boli skontrolované 24. júla 2026.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01  </w:t>
      </w:r>
      <w:hyperlink r:id="rId12">
        <w:r>
          <w:rPr>
            <w:rFonts w:ascii="Arial" w:hAnsi="Arial"/>
            <w:color w:val="8B6723"/>
            <w:u w:val="single"/>
          </w:rPr>
          <w:t>GOV.UK Service Manual</w:t>
        </w:r>
      </w:hyperlink>
    </w:p>
    <w:p>
      <w:pPr>
        <w:pStyle w:val="RiseSmall"/>
        <w:ind w:left="454"/>
      </w:pPr>
      <w:r>
        <w:t>Potreby používateľov, dnešné správanie a dôkazy pred výberom riešenia.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02  </w:t>
      </w:r>
      <w:hyperlink r:id="rId13">
        <w:r>
          <w:rPr>
            <w:rFonts w:ascii="Arial" w:hAnsi="Arial"/>
            <w:color w:val="8B6723"/>
            <w:u w:val="single"/>
          </w:rPr>
          <w:t>Atlassian Project Charter</w:t>
        </w:r>
      </w:hyperlink>
    </w:p>
    <w:p>
      <w:pPr>
        <w:pStyle w:val="RiseSmall"/>
        <w:ind w:left="454"/>
      </w:pPr>
      <w:r>
        <w:t>Ciele, rozsah, zainteresované osoby, zdroje, termíny, rozpočet a riziká.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03  </w:t>
      </w:r>
      <w:hyperlink r:id="rId14">
        <w:r>
          <w:rPr>
            <w:rFonts w:ascii="Arial" w:hAnsi="Arial"/>
            <w:color w:val="8B6723"/>
            <w:u w:val="single"/>
          </w:rPr>
          <w:t>NASA Systems Engineering Handbook</w:t>
        </w:r>
      </w:hyperlink>
    </w:p>
    <w:p>
      <w:pPr>
        <w:pStyle w:val="RiseSmall"/>
        <w:ind w:left="454"/>
      </w:pPr>
      <w:r>
        <w:t>Jednoznačné, uskutočniteľné a overiteľné požiadavky.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04  </w:t>
      </w:r>
      <w:hyperlink r:id="rId15">
        <w:r>
          <w:rPr>
            <w:rFonts w:ascii="Arial" w:hAnsi="Arial"/>
            <w:color w:val="8B6723"/>
            <w:u w:val="single"/>
          </w:rPr>
          <w:t>FAR 37.602</w:t>
        </w:r>
      </w:hyperlink>
    </w:p>
    <w:p>
      <w:pPr>
        <w:pStyle w:val="RiseSmall"/>
        <w:ind w:left="454"/>
      </w:pPr>
      <w:r>
        <w:t>Výsledok, merateľné výkonové štandardy a spôsob posúdenia.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05  </w:t>
      </w:r>
      <w:hyperlink r:id="rId16">
        <w:r>
          <w:rPr>
            <w:rFonts w:ascii="Arial" w:hAnsi="Arial"/>
            <w:color w:val="8B6723"/>
            <w:u w:val="single"/>
          </w:rPr>
          <w:t>NIST AI Risk Management Framework</w:t>
        </w:r>
      </w:hyperlink>
    </w:p>
    <w:p>
      <w:pPr>
        <w:pStyle w:val="RiseSmall"/>
        <w:ind w:left="454"/>
      </w:pPr>
      <w:r>
        <w:t>Kontext AI, dáta, ľudská kontrola, testovanie, monitoring a reakcia na chybu.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06  </w:t>
      </w:r>
      <w:hyperlink r:id="rId17">
        <w:r>
          <w:rPr>
            <w:rFonts w:ascii="Arial" w:hAnsi="Arial"/>
            <w:color w:val="8B6723"/>
            <w:u w:val="single"/>
          </w:rPr>
          <w:t>KRAS Kampaň Brief</w:t>
        </w:r>
      </w:hyperlink>
    </w:p>
    <w:p>
      <w:pPr>
        <w:pStyle w:val="RiseSmall"/>
        <w:ind w:left="454"/>
      </w:pPr>
      <w:r>
        <w:t>Východiskový stav, publikum, želaná zmena, povinné prvky, rozpočet a hodnotenie.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07  </w:t>
      </w:r>
      <w:hyperlink r:id="rId18">
        <w:r>
          <w:rPr>
            <w:rFonts w:ascii="Arial" w:hAnsi="Arial"/>
            <w:color w:val="8B6723"/>
            <w:u w:val="single"/>
          </w:rPr>
          <w:t>APRSR Správny brief</w:t>
        </w:r>
      </w:hyperlink>
    </w:p>
    <w:p>
      <w:pPr>
        <w:pStyle w:val="RiseSmall"/>
        <w:ind w:left="454"/>
      </w:pPr>
      <w:r>
        <w:t>Ciele, merateľný úspech, rozpočet a procesné informácie.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08  </w:t>
      </w:r>
      <w:hyperlink r:id="rId19">
        <w:r>
          <w:rPr>
            <w:rFonts w:ascii="Arial" w:hAnsi="Arial"/>
            <w:color w:val="8B6723"/>
            <w:u w:val="single"/>
          </w:rPr>
          <w:t>OpenAI Data Controls</w:t>
        </w:r>
      </w:hyperlink>
    </w:p>
    <w:p>
      <w:pPr>
        <w:pStyle w:val="RiseSmall"/>
        <w:ind w:left="454"/>
      </w:pPr>
      <w:r>
        <w:t>Nastavenia používania obsahu a ochrany dát v službe.</w:t>
      </w:r>
    </w:p>
    <w:p>
      <w:pPr>
        <w:spacing w:after="20"/>
      </w:pPr>
      <w:r>
        <w:rPr>
          <w:rFonts w:ascii="Arial" w:hAnsi="Arial"/>
          <w:b/>
          <w:color w:val="8B6723"/>
          <w:sz w:val="16"/>
        </w:rPr>
        <w:t xml:space="preserve">09  </w:t>
      </w:r>
      <w:hyperlink r:id="rId20">
        <w:r>
          <w:rPr>
            <w:rFonts w:ascii="Arial" w:hAnsi="Arial"/>
            <w:color w:val="8B6723"/>
            <w:u w:val="single"/>
          </w:rPr>
          <w:t>Anthropic Privacy Guidance</w:t>
        </w:r>
      </w:hyperlink>
    </w:p>
    <w:p>
      <w:pPr>
        <w:pStyle w:val="RiseSmall"/>
        <w:ind w:left="454"/>
      </w:pPr>
      <w:r>
        <w:t>Organizačné pravidlá a citlivé údaje v konverzáciách Claude.</w:t>
      </w:r>
    </w:p>
    <w:p>
      <w:pPr>
        <w:pStyle w:val="Heading1"/>
      </w:pPr>
      <w:r>
        <w:t>Ako nám zadanie poslať</w:t>
      </w:r>
    </w:p>
    <w:p>
      <w:pPr>
        <w:spacing w:after="140" w:line="252" w:lineRule="auto"/>
      </w:pPr>
      <w:r>
        <w:t>Uložte dokument pod názvom firmy alebo projektu a pošlite ho na rise@rise.sk. Figmu, fonty a licencie, zdrojovú grafiku, brand manuál a ďalšie dokumenty pošlite alebo zdieľajte s rovnakým e-mailom. Do služieb tretích strán nám pošlite pozvánku na rise@rise.sk. Heslá a API kľúče neposielajte e-mailom. Ak dokument nechcete vypĺňať sami, otázky spolu prejdeme na bezplatnej úvodnej konzultácii.</w:t>
      </w:r>
    </w:p>
    <w:p>
      <w:hyperlink r:id="rId21">
        <w:r>
          <w:rPr>
            <w:rFonts w:ascii="Arial" w:hAnsi="Arial"/>
            <w:color w:val="8B6723"/>
            <w:u w:val="single"/>
          </w:rPr>
          <w:t>Poslať zadanie e-mailom</w:t>
        </w:r>
      </w:hyperlink>
      <w:r>
        <w:rPr>
          <w:rFonts w:ascii="Arial" w:hAnsi="Arial"/>
          <w:color w:val="D9D4C8"/>
          <w:sz w:val="16"/>
        </w:rPr>
        <w:t xml:space="preserve">   |   </w:t>
      </w:r>
      <w:hyperlink r:id="rId22">
        <w:r>
          <w:rPr>
            <w:rFonts w:ascii="Arial" w:hAnsi="Arial"/>
            <w:color w:val="8B6723"/>
            <w:u w:val="single"/>
          </w:rPr>
          <w:t>Dohodnúť konzultáciu</w:t>
        </w:r>
      </w:hyperlink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134" w:bottom="1020" w:left="1134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" w:hAnsi="Arial"/>
        <w:color w:val="6B665D"/>
        <w:sz w:val="16"/>
      </w:rPr>
      <w:t xml:space="preserve">rise.sk  |  Strana </w:t>
    </w:r>
    <w:r>
      <w:rPr>
        <w:rFonts w:ascii="Arial" w:hAnsi="Arial"/>
        <w:color w:val="6B665D"/>
        <w:sz w:val="16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40"/>
      <w:pBdr>
        <w:bottom w:val="single" w:sz="8" w:space="3" w:color="DAB549"/>
      </w:pBdr>
    </w:pPr>
    <w:r>
      <w:rPr>
        <w:rFonts w:ascii="Arial" w:hAnsi="Arial"/>
        <w:b/>
        <w:color w:val="6B665D"/>
        <w:sz w:val="16"/>
      </w:rPr>
      <w:t>rise.sk  |  Vzor projektového zadania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spacing w:before="0" w:after="60" w:line="252" w:lineRule="auto"/>
    </w:pPr>
    <w:rPr>
      <w:rFonts w:ascii="Arial" w:hAnsi="Arial"/>
      <w:b w:val="0"/>
      <w:color w:val="302D2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 w:line="252" w:lineRule="auto"/>
      <w:outlineLvl w:val="0"/>
    </w:pPr>
    <w:rPr>
      <w:rFonts w:asciiTheme="majorHAnsi" w:eastAsiaTheme="majorEastAsia" w:hAnsiTheme="majorHAnsi" w:cstheme="majorBidi" w:ascii="Arial" w:hAnsi="Arial"/>
      <w:b/>
      <w:bCs/>
      <w:color w:val="18161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 w:line="252" w:lineRule="auto"/>
      <w:outlineLvl w:val="1"/>
    </w:pPr>
    <w:rPr>
      <w:rFonts w:asciiTheme="majorHAnsi" w:eastAsiaTheme="majorEastAsia" w:hAnsiTheme="majorHAnsi" w:cstheme="majorBidi" w:ascii="Arial" w:hAnsi="Arial"/>
      <w:b/>
      <w:bCs/>
      <w:color w:val="8B672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00" w:after="40" w:line="252" w:lineRule="auto"/>
      <w:outlineLvl w:val="2"/>
    </w:pPr>
    <w:rPr>
      <w:rFonts w:asciiTheme="majorHAnsi" w:eastAsiaTheme="majorEastAsia" w:hAnsiTheme="majorHAnsi" w:cstheme="majorBidi" w:ascii="Arial" w:hAnsi="Arial"/>
      <w:b/>
      <w:bCs/>
      <w:color w:val="302D2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iseSmall">
    <w:name w:val="Rise Small"/>
    <w:pPr>
      <w:keepNext w:val="0"/>
      <w:spacing w:before="0" w:after="40" w:line="240" w:lineRule="auto"/>
    </w:pPr>
    <w:rPr>
      <w:rFonts w:ascii="Arial" w:hAnsi="Arial"/>
      <w:b w:val="0"/>
      <w:color w:val="6B665D"/>
      <w:sz w:val="16"/>
    </w:rPr>
  </w:style>
  <w:style w:type="paragraph" w:customStyle="1" w:styleId="RiseResponse">
    <w:name w:val="Rise Response"/>
    <w:pPr>
      <w:keepNext w:val="0"/>
      <w:spacing w:before="0" w:after="40" w:line="240" w:lineRule="auto"/>
    </w:pPr>
    <w:rPr>
      <w:rFonts w:ascii="Arial" w:hAnsi="Arial"/>
      <w:b w:val="0"/>
      <w:i/>
      <w:color w:val="6B665D"/>
      <w:sz w:val="18"/>
    </w:rPr>
  </w:style>
  <w:style w:type="paragraph" w:customStyle="1" w:styleId="RiseTable">
    <w:name w:val="Rise Table"/>
    <w:pPr>
      <w:keepNext w:val="0"/>
      <w:spacing w:before="0" w:after="0" w:line="240" w:lineRule="auto"/>
    </w:pPr>
    <w:rPr>
      <w:rFonts w:ascii="Arial" w:hAnsi="Arial"/>
      <w:b w:val="0"/>
      <w:color w:val="302D27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rise.sk/vzor-zadania" TargetMode="External"/><Relationship Id="rId12" Type="http://schemas.openxmlformats.org/officeDocument/2006/relationships/hyperlink" Target="https://www.gov.uk/service-manual/user-research/start-by-learning-user-needs" TargetMode="External"/><Relationship Id="rId13" Type="http://schemas.openxmlformats.org/officeDocument/2006/relationships/hyperlink" Target="https://www.atlassian.com/software/confluence/templates/project-charter" TargetMode="External"/><Relationship Id="rId14" Type="http://schemas.openxmlformats.org/officeDocument/2006/relationships/hyperlink" Target="https://www.nasa.gov/reference/system-engineering-handbook-appendix/" TargetMode="External"/><Relationship Id="rId15" Type="http://schemas.openxmlformats.org/officeDocument/2006/relationships/hyperlink" Target="https://www.acquisition.gov/far/37.602" TargetMode="External"/><Relationship Id="rId16" Type="http://schemas.openxmlformats.org/officeDocument/2006/relationships/hyperlink" Target="https://airc.nist.gov/airmf-resources/airmf/5-sec-core/" TargetMode="External"/><Relationship Id="rId17" Type="http://schemas.openxmlformats.org/officeDocument/2006/relationships/hyperlink" Target="https://ferovytender.sk/pdf/KRAS_Kampan_Brief.pdf" TargetMode="External"/><Relationship Id="rId18" Type="http://schemas.openxmlformats.org/officeDocument/2006/relationships/hyperlink" Target="https://asociaciapr.sk/ako-by-mal-vyzerat-spravny-brief/" TargetMode="External"/><Relationship Id="rId19" Type="http://schemas.openxmlformats.org/officeDocument/2006/relationships/hyperlink" Target="https://help.openai.com/en/articles/7039943-how-your-data-is-used-to-improve-model-performance" TargetMode="External"/><Relationship Id="rId20" Type="http://schemas.openxmlformats.org/officeDocument/2006/relationships/hyperlink" Target="https://support.claude.com/en/articles/8325621-i-would-like-to-input-sensitive-data-into-my-chats-with-claude-who-can-view-my-conversations" TargetMode="External"/><Relationship Id="rId21" Type="http://schemas.openxmlformats.org/officeDocument/2006/relationships/hyperlink" Target="mailto:rise@rise.sk?subject=Project%20brief%20for%20Rise.sk" TargetMode="External"/><Relationship Id="rId22" Type="http://schemas.openxmlformats.org/officeDocument/2006/relationships/hyperlink" Target="https://rise.sk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  <dc:identifier/>
  <dc:language/>
  <cp:version/>
</cp:coreProperties>
</file>